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D" w:rsidRDefault="00F0520D" w:rsidP="00F0520D">
      <w:pPr>
        <w:shd w:val="clear" w:color="auto" w:fill="D6E3BC"/>
        <w:suppressAutoHyphens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F0520D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1.Agregat prądotwórczy: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Moc znamionowa (PRP) min. 50 kVA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Moc dorywcza (</w:t>
      </w:r>
      <w:proofErr w:type="spellStart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standby</w:t>
      </w:r>
      <w:proofErr w:type="spellEnd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-ESP) min. 55 kVA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Częstotliwość 50 </w:t>
      </w:r>
      <w:proofErr w:type="spellStart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Hz</w:t>
      </w:r>
      <w:proofErr w:type="spellEnd"/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Prędkość obrotowa 1500 </w:t>
      </w:r>
      <w:proofErr w:type="spellStart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obr</w:t>
      </w:r>
      <w:proofErr w:type="spellEnd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/min.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Napięcie 400/230 V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Typ połączeń gwiazda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Klasa izolacji H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Obudowa zewnętrzna atmosferyczna NIE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Poziom hałasu (ciśnienie akustyczne) z 7 m </w:t>
      </w:r>
      <w:proofErr w:type="spellStart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Lpa</w:t>
      </w:r>
      <w:proofErr w:type="spellEnd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max 65 </w:t>
      </w:r>
      <w:proofErr w:type="spellStart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dB</w:t>
      </w:r>
      <w:proofErr w:type="spellEnd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(A)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Stopień ochrony prądnicy IP23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Wymiary agregatu max 2200x730x1540 mm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Silnik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Wysokoprężny, turbodoładowany, </w:t>
      </w:r>
      <w:proofErr w:type="spellStart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common</w:t>
      </w:r>
      <w:proofErr w:type="spellEnd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rail</w:t>
      </w:r>
      <w:proofErr w:type="spellEnd"/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Liczba i układ cylindrów 4 rzędowy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Pojemność skokowa NEF45 AN2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Klasa wykonania G2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Regulator obrotów elektroniczny 0,2%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Zużycie paliwa przy obciążeniu 75% max 9,6l/h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Moc znamionowa netto na wale min. 44,0 kW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System chłodzenia ciecz chłodząca, obieg zamknięty 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Zasilanie DC 12 V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Pojemność akumulatora rozruchowego 80Ah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Norma emisji spalin </w:t>
      </w:r>
      <w:proofErr w:type="spellStart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Stage</w:t>
      </w:r>
      <w:proofErr w:type="spellEnd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3A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Wizualizacja poziomu paliwa na panelu sterowania w RG TAK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Prądnica: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Rodzaj 4 –polowa, </w:t>
      </w:r>
      <w:proofErr w:type="spellStart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bezszczotkowa</w:t>
      </w:r>
      <w:proofErr w:type="spellEnd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, samowzbudna</w:t>
      </w:r>
    </w:p>
    <w:p w:rsidR="00193C5B" w:rsidRPr="00193C5B" w:rsidRDefault="00193C5B" w:rsidP="00193C5B">
      <w:pPr>
        <w:shd w:val="clear" w:color="auto" w:fill="D6E3BC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Regulacja napięcia 0,2%</w:t>
      </w:r>
    </w:p>
    <w:p w:rsidR="00193C5B" w:rsidRPr="00193C5B" w:rsidRDefault="00193C5B" w:rsidP="00193C5B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proofErr w:type="spellStart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Zniekszcztałcenia</w:t>
      </w:r>
      <w:proofErr w:type="spellEnd"/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harmoniczne THD ≤ 2,5 %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Typ połączeń gwiazda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Chłodzenie, wentylacja wentylator mechaniczny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Zakładane funkcje i wyposażenie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Komunikacja i transmisja danych poprzez GSM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Zakładany czas pracy przy obciążeniu 75% mocy PRP min. 12 h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Times New Roman" w:cs="Times New Roman"/>
          <w:color w:val="000000"/>
          <w:sz w:val="20"/>
          <w:szCs w:val="20"/>
          <w:lang w:eastAsia="pl-PL"/>
        </w:rPr>
        <w:t>Elektroniczny regulator bloku silnika z możliwością regulacji temperatury bloku w zakresie 5-40</w:t>
      </w: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>⁰C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>Zewnętrzna sygnalizacja optyczna uruchomienia EPO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>Wyposażenie pomieszczenia agregatu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>Wyrzutnia i czerpnia, żaluzje kurtynowe wielopłaszczyznowe sterowane z automatyki agregatu  min. 0,6 m2, zabezpieczone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>Układ wydechowy z wylotem w ścianie izolowany termicznie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>Przycisk PWP wyprowadzony na ścianie zewnętrznej pomieszczenia agregatu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>SZR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 xml:space="preserve">Aparaty 4 polowe 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 xml:space="preserve">Wykonanie na przełącznikach z napędem silnikowym 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>Wersja na min. 80A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>Przystosowany do współpracy z PWP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 Unicode MS" w:cs="Arial Unicode MS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 xml:space="preserve">Automatyka sygnalizacji uruchomienia EPO w agregacie </w:t>
      </w:r>
    </w:p>
    <w:p w:rsidR="00193C5B" w:rsidRPr="00193C5B" w:rsidRDefault="00193C5B" w:rsidP="00193C5B">
      <w:pPr>
        <w:autoSpaceDE w:val="0"/>
        <w:autoSpaceDN w:val="0"/>
        <w:adjustRightInd w:val="0"/>
        <w:spacing w:after="0" w:line="240" w:lineRule="auto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C5B">
        <w:rPr>
          <w:rFonts w:eastAsia="Arial Unicode MS" w:cs="Arial Unicode MS"/>
          <w:color w:val="000000"/>
          <w:sz w:val="20"/>
          <w:szCs w:val="20"/>
          <w:lang w:eastAsia="pl-PL"/>
        </w:rPr>
        <w:t>Zaciski przyłączy kabli i przewodów głównego toru zasilania min. 35 mm2.</w:t>
      </w:r>
      <w:bookmarkStart w:id="0" w:name="_GoBack"/>
      <w:bookmarkEnd w:id="0"/>
    </w:p>
    <w:sectPr w:rsidR="00193C5B" w:rsidRPr="0019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37"/>
    <w:rsid w:val="00193C5B"/>
    <w:rsid w:val="002974D1"/>
    <w:rsid w:val="00943537"/>
    <w:rsid w:val="00B77A6C"/>
    <w:rsid w:val="00BF78CF"/>
    <w:rsid w:val="00DC7B60"/>
    <w:rsid w:val="00F0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3</cp:revision>
  <dcterms:created xsi:type="dcterms:W3CDTF">2022-10-19T08:48:00Z</dcterms:created>
  <dcterms:modified xsi:type="dcterms:W3CDTF">2022-11-28T13:01:00Z</dcterms:modified>
</cp:coreProperties>
</file>